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True or False: If information has a state of being genuine or original and is not a fabrication, it has the characteristic of authenticity.</w:t>
      </w:r>
    </w:p>
    <w:p w:rsidR="005600E4" w:rsidRPr="005600E4" w:rsidRDefault="005600E4" w:rsidP="005600E4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0" type="#_x0000_t75" style="width:20.25pt;height:17.25pt" o:ole="">
            <v:imagedata r:id="rId5" o:title=""/>
          </v:shape>
          <w:control r:id="rId6" w:name="DefaultOcxName" w:shapeid="_x0000_i1150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True</w:t>
      </w:r>
    </w:p>
    <w:p w:rsidR="005600E4" w:rsidRPr="005600E4" w:rsidRDefault="005600E4" w:rsidP="005600E4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49" type="#_x0000_t75" style="width:20.25pt;height:17.25pt" o:ole="">
            <v:imagedata r:id="rId5" o:title=""/>
          </v:shape>
          <w:control r:id="rId7" w:name="DefaultOcxName1" w:shapeid="_x0000_i1149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False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2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The second major undertaking involved in risk management, after risk identification, is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48" type="#_x0000_t75" style="width:1in;height:18pt" o:ole="">
            <v:imagedata r:id="rId8" o:title=""/>
          </v:shape>
          <w:control r:id="rId9" w:name="DefaultOcxName2" w:shapeid="_x0000_i1148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3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What does ARPA stand for?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47" type="#_x0000_t75" style="width:1in;height:18pt" o:ole="">
            <v:imagedata r:id="rId8" o:title=""/>
          </v:shape>
          <w:control r:id="rId10" w:name="DefaultOcxName3" w:shapeid="_x0000_i1147"/>
        </w:objec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4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The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46" type="#_x0000_t75" style="width:1in;height:18pt" o:ole="">
            <v:imagedata r:id="rId8" o:title=""/>
          </v:shape>
          <w:control r:id="rId11" w:name="DefaultOcxName4" w:shapeid="_x0000_i1146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community of interest must ensure sufficient resources are allocated to the risk management process.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5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Risk identification is performed within a larger process of identifying and justifying risk controls, which is called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45" type="#_x0000_t75" style="width:1in;height:18pt" o:ole="">
            <v:imagedata r:id="rId8" o:title=""/>
          </v:shape>
          <w:control r:id="rId12" w:name="DefaultOcxName5" w:shapeid="_x0000_i1145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6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True or False: The National Security Agency (NSA) is the federal agency responsible for signal intelligence and information system security of classified systems.</w:t>
      </w:r>
    </w:p>
    <w:p w:rsidR="005600E4" w:rsidRPr="005600E4" w:rsidRDefault="005600E4" w:rsidP="005600E4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44" type="#_x0000_t75" style="width:20.25pt;height:17.25pt" o:ole="">
            <v:imagedata r:id="rId5" o:title=""/>
          </v:shape>
          <w:control r:id="rId13" w:name="DefaultOcxName6" w:shapeid="_x0000_i1144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True</w:t>
      </w:r>
    </w:p>
    <w:p w:rsidR="005600E4" w:rsidRPr="005600E4" w:rsidRDefault="005600E4" w:rsidP="005600E4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43" type="#_x0000_t75" style="width:20.25pt;height:17.25pt" o:ole="">
            <v:imagedata r:id="rId5" o:title=""/>
          </v:shape>
          <w:control r:id="rId14" w:name="DefaultOcxName7" w:shapeid="_x0000_i1143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False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7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42" type="#_x0000_t75" style="width:1in;height:18pt" o:ole="">
            <v:imagedata r:id="rId8" o:title=""/>
          </v:shape>
          <w:control r:id="rId15" w:name="DefaultOcxName8" w:shapeid="_x0000_i1142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are frequently codified as standards and procedures to be used when configuring or maintaining systems.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8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When projects are initiated at the highest levels of an organization and then pushed to all levels, they are said to follow a(n) ____ approach.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69"/>
        <w:gridCol w:w="1624"/>
      </w:tblGrid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41" type="#_x0000_t75" style="width:20.25pt;height:17.25pt" o:ole="">
                  <v:imagedata r:id="rId5" o:title=""/>
                </v:shape>
                <w:control r:id="rId16" w:name="DefaultOcxName9" w:shapeid="_x0000_i1141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executive led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40" type="#_x0000_t75" style="width:20.25pt;height:17.25pt" o:ole="">
                  <v:imagedata r:id="rId5" o:title=""/>
                </v:shape>
                <w:control r:id="rId17" w:name="DefaultOcxName10" w:shapeid="_x0000_i1140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bottom-up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39" type="#_x0000_t75" style="width:20.25pt;height:17.25pt" o:ole="">
                  <v:imagedata r:id="rId5" o:title=""/>
                </v:shape>
                <w:control r:id="rId18" w:name="DefaultOcxName11" w:shapeid="_x0000_i1139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trickle down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38" type="#_x0000_t75" style="width:20.25pt;height:17.25pt" o:ole="">
                  <v:imagedata r:id="rId5" o:title=""/>
                </v:shape>
                <w:control r:id="rId19" w:name="DefaultOcxName12" w:shapeid="_x0000_i1138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D.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top-down</w:t>
            </w:r>
          </w:p>
        </w:tc>
      </w:tr>
    </w:tbl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9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37" type="#_x0000_t75" style="width:1in;height:18pt" o:ole="">
            <v:imagedata r:id="rId8" o:title=""/>
          </v:shape>
          <w:control r:id="rId20" w:name="DefaultOcxName13" w:shapeid="_x0000_i1137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are detailed statements of what must be done to comply with policy.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10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lastRenderedPageBreak/>
        <w:t>True or False: The traditional system component of software can be broken into two components when viewed from an information security perspective: operating systems and security components.</w:t>
      </w:r>
    </w:p>
    <w:p w:rsidR="005600E4" w:rsidRPr="005600E4" w:rsidRDefault="005600E4" w:rsidP="005600E4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36" type="#_x0000_t75" style="width:20.25pt;height:17.25pt" o:ole="">
            <v:imagedata r:id="rId5" o:title=""/>
          </v:shape>
          <w:control r:id="rId21" w:name="DefaultOcxName14" w:shapeid="_x0000_i1136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True</w:t>
      </w:r>
    </w:p>
    <w:p w:rsidR="005600E4" w:rsidRPr="005600E4" w:rsidRDefault="005600E4" w:rsidP="005600E4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35" type="#_x0000_t75" style="width:20.25pt;height:17.25pt" o:ole="">
            <v:imagedata r:id="rId5" o:title=""/>
          </v:shape>
          <w:control r:id="rId22" w:name="DefaultOcxName15" w:shapeid="_x0000_i1135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False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11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Ownership or control of information is called the characteristic of _____.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69"/>
        <w:gridCol w:w="1721"/>
      </w:tblGrid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34" type="#_x0000_t75" style="width:20.25pt;height:17.25pt" o:ole="">
                  <v:imagedata r:id="rId5" o:title=""/>
                </v:shape>
                <w:control r:id="rId23" w:name="DefaultOcxName16" w:shapeid="_x0000_i1134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authenticity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33" type="#_x0000_t75" style="width:20.25pt;height:17.25pt" o:ole="">
                  <v:imagedata r:id="rId5" o:title=""/>
                </v:shape>
                <w:control r:id="rId24" w:name="DefaultOcxName17" w:shapeid="_x0000_i1133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confidentiality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32" type="#_x0000_t75" style="width:20.25pt;height:17.25pt" o:ole="">
                  <v:imagedata r:id="rId5" o:title=""/>
                </v:shape>
                <w:control r:id="rId25" w:name="DefaultOcxName18" w:shapeid="_x0000_i1132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possession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31" type="#_x0000_t75" style="width:20.25pt;height:17.25pt" o:ole="">
                  <v:imagedata r:id="rId5" o:title=""/>
                </v:shape>
                <w:control r:id="rId26" w:name="DefaultOcxName19" w:shapeid="_x0000_i1131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D.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integrity</w:t>
            </w:r>
          </w:p>
        </w:tc>
      </w:tr>
    </w:tbl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12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True or False: The National Security Agency (NSA) is responsible for the security of all national critical infrastructures.</w:t>
      </w:r>
    </w:p>
    <w:p w:rsidR="005600E4" w:rsidRPr="005600E4" w:rsidRDefault="005600E4" w:rsidP="005600E4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30" type="#_x0000_t75" style="width:20.25pt;height:17.25pt" o:ole="">
            <v:imagedata r:id="rId5" o:title=""/>
          </v:shape>
          <w:control r:id="rId27" w:name="DefaultOcxName20" w:shapeid="_x0000_i1130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True</w:t>
      </w:r>
    </w:p>
    <w:p w:rsidR="005600E4" w:rsidRPr="005600E4" w:rsidRDefault="005600E4" w:rsidP="005600E4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29" type="#_x0000_t75" style="width:20.25pt;height:17.25pt" o:ole="">
            <v:imagedata r:id="rId5" o:title=""/>
          </v:shape>
          <w:control r:id="rId28" w:name="DefaultOcxName21" w:shapeid="_x0000_i1129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False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13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 xml:space="preserve">A risk management strategy calls on information security professionals to know their </w:t>
      </w:r>
      <w:proofErr w:type="spellStart"/>
      <w:r w:rsidRPr="005600E4">
        <w:rPr>
          <w:rFonts w:ascii="Verdana" w:eastAsia="Times New Roman" w:hAnsi="Verdana" w:cs="Tahoma"/>
          <w:color w:val="111111"/>
          <w:sz w:val="24"/>
          <w:szCs w:val="24"/>
        </w:rPr>
        <w:t>organization's</w:t>
      </w:r>
      <w:proofErr w:type="spellEnd"/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8" type="#_x0000_t75" style="width:1in;height:18pt" o:ole="">
            <v:imagedata r:id="rId8" o:title=""/>
          </v:shape>
          <w:control r:id="rId29" w:name="DefaultOcxName22" w:shapeid="_x0000_i1128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14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When individuals are assigned security labels for access to categories of information, they have acquired a(n)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7" type="#_x0000_t75" style="width:1in;height:18pt" o:ole="">
            <v:imagedata r:id="rId8" o:title=""/>
          </v:shape>
          <w:control r:id="rId30" w:name="DefaultOcxName23" w:shapeid="_x0000_i1127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15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 xml:space="preserve">What is a type of law that represents </w:t>
      </w:r>
      <w:proofErr w:type="gramStart"/>
      <w:r w:rsidRPr="005600E4">
        <w:rPr>
          <w:rFonts w:ascii="Verdana" w:eastAsia="Times New Roman" w:hAnsi="Verdana" w:cs="Tahoma"/>
          <w:color w:val="111111"/>
          <w:sz w:val="24"/>
          <w:szCs w:val="24"/>
        </w:rPr>
        <w:t>all of</w:t>
      </w:r>
      <w:proofErr w:type="gramEnd"/>
      <w:r w:rsidRPr="005600E4">
        <w:rPr>
          <w:rFonts w:ascii="Verdana" w:eastAsia="Times New Roman" w:hAnsi="Verdana" w:cs="Tahoma"/>
          <w:color w:val="111111"/>
          <w:sz w:val="24"/>
          <w:szCs w:val="24"/>
        </w:rPr>
        <w:t xml:space="preserve"> the laws that apply to a citizen (or subject) of a jurisdiction?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6" type="#_x0000_t75" style="width:1in;height:18pt" o:ole="">
            <v:imagedata r:id="rId8" o:title=""/>
          </v:shape>
          <w:control r:id="rId31" w:name="DefaultOcxName24" w:shapeid="_x0000_i1126"/>
        </w:objec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16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For information security purposes,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5" type="#_x0000_t75" style="width:1in;height:18pt" o:ole="">
            <v:imagedata r:id="rId8" o:title=""/>
          </v:shape>
          <w:control r:id="rId32" w:name="DefaultOcxName25" w:shapeid="_x0000_i1125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are the systems that use, store, and transmit information.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17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A(n)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4" type="#_x0000_t75" style="width:1in;height:18pt" o:ole="">
            <v:imagedata r:id="rId8" o:title=""/>
          </v:shape>
          <w:control r:id="rId33" w:name="DefaultOcxName26" w:shapeid="_x0000_i1124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addresses specific areas of technology, requires frequent updates, and contains a statement on the organization’s position on a specific issue.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18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What is a type of law that addresses violations harmful to society and that is enforced by prosecution by the state?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3" type="#_x0000_t75" style="width:1in;height:18pt" o:ole="">
            <v:imagedata r:id="rId8" o:title=""/>
          </v:shape>
          <w:control r:id="rId34" w:name="DefaultOcxName27" w:shapeid="_x0000_i1123"/>
        </w:objec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19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lastRenderedPageBreak/>
        <w:t>The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2" type="#_x0000_t75" style="width:1in;height:18pt" o:ole="">
            <v:imagedata r:id="rId8" o:title=""/>
          </v:shape>
          <w:control r:id="rId35" w:name="DefaultOcxName28" w:shapeid="_x0000_i1122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community of interest should have the best understanding of threats and attacks and often takes a leadership role in addressing risks.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20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21" type="#_x0000_t75" style="width:1in;height:18pt" o:ole="">
            <v:imagedata r:id="rId8" o:title=""/>
          </v:shape>
          <w:control r:id="rId36" w:name="DefaultOcxName29" w:shapeid="_x0000_i1121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direct how issues should be addressed and technologies used.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21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True or False: Hardware networking components can be broken down into two subgroups when viewed from an information security perspective: Intranet components and Internet or DMZ components.</w:t>
      </w:r>
    </w:p>
    <w:p w:rsidR="005600E4" w:rsidRPr="005600E4" w:rsidRDefault="005600E4" w:rsidP="005600E4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20" type="#_x0000_t75" style="width:20.25pt;height:17.25pt" o:ole="">
            <v:imagedata r:id="rId5" o:title=""/>
          </v:shape>
          <w:control r:id="rId37" w:name="DefaultOcxName30" w:shapeid="_x0000_i1120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True</w:t>
      </w:r>
    </w:p>
    <w:p w:rsidR="005600E4" w:rsidRPr="005600E4" w:rsidRDefault="005600E4" w:rsidP="005600E4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19" type="#_x0000_t75" style="width:20.25pt;height:17.25pt" o:ole="">
            <v:imagedata r:id="rId5" o:title=""/>
          </v:shape>
          <w:control r:id="rId38" w:name="DefaultOcxName31" w:shapeid="_x0000_i1119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False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22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 xml:space="preserve">True or False: </w:t>
      </w:r>
      <w:proofErr w:type="gramStart"/>
      <w:r w:rsidRPr="005600E4">
        <w:rPr>
          <w:rFonts w:ascii="Verdana" w:eastAsia="Times New Roman" w:hAnsi="Verdana" w:cs="Tahoma"/>
          <w:color w:val="111111"/>
          <w:sz w:val="24"/>
          <w:szCs w:val="24"/>
        </w:rPr>
        <w:t>According to</w:t>
      </w:r>
      <w:proofErr w:type="gramEnd"/>
      <w:r w:rsidRPr="005600E4">
        <w:rPr>
          <w:rFonts w:ascii="Verdana" w:eastAsia="Times New Roman" w:hAnsi="Verdana" w:cs="Tahoma"/>
          <w:color w:val="111111"/>
          <w:sz w:val="24"/>
          <w:szCs w:val="24"/>
        </w:rPr>
        <w:t xml:space="preserve"> Chinese General Sun Tzu (as quoted in the textbook), you should know the enemy and know yourself.</w:t>
      </w:r>
    </w:p>
    <w:p w:rsidR="005600E4" w:rsidRPr="005600E4" w:rsidRDefault="005600E4" w:rsidP="005600E4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18" type="#_x0000_t75" style="width:20.25pt;height:17.25pt" o:ole="">
            <v:imagedata r:id="rId5" o:title=""/>
          </v:shape>
          <w:control r:id="rId39" w:name="DefaultOcxName32" w:shapeid="_x0000_i1118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True</w:t>
      </w:r>
    </w:p>
    <w:p w:rsidR="005600E4" w:rsidRPr="005600E4" w:rsidRDefault="005600E4" w:rsidP="005600E4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17" type="#_x0000_t75" style="width:20.25pt;height:17.25pt" o:ole="">
            <v:imagedata r:id="rId5" o:title=""/>
          </v:shape>
          <w:control r:id="rId40" w:name="DefaultOcxName33" w:shapeid="_x0000_i1117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False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23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System-specific policies can be organized into two general groups: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16" type="#_x0000_t75" style="width:1in;height:18pt" o:ole="">
            <v:imagedata r:id="rId8" o:title=""/>
          </v:shape>
          <w:control r:id="rId41" w:name="DefaultOcxName34" w:shapeid="_x0000_i1116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 and </w: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object w:dxaOrig="1440" w:dyaOrig="1440">
          <v:shape id="_x0000_i1115" type="#_x0000_t75" style="width:1in;height:18pt" o:ole="">
            <v:imagedata r:id="rId8" o:title=""/>
          </v:shape>
          <w:control r:id="rId42" w:name="DefaultOcxName35" w:shapeid="_x0000_i1115"/>
        </w:object>
      </w:r>
      <w:r w:rsidRPr="005600E4">
        <w:rPr>
          <w:rFonts w:ascii="Verdana" w:eastAsia="Times New Roman" w:hAnsi="Verdana" w:cs="Tahoma"/>
          <w:color w:val="111111"/>
          <w:sz w:val="24"/>
          <w:szCs w:val="24"/>
        </w:rPr>
        <w:t>.</w:t>
      </w:r>
    </w:p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24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r w:rsidRPr="005600E4">
        <w:rPr>
          <w:rFonts w:ascii="Verdana" w:eastAsia="Times New Roman" w:hAnsi="Verdana" w:cs="Tahoma"/>
          <w:color w:val="111111"/>
          <w:sz w:val="24"/>
          <w:szCs w:val="24"/>
        </w:rPr>
        <w:t>____ security addresses the protection of individuals or groups authorized to access an organization.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269"/>
        <w:gridCol w:w="1204"/>
      </w:tblGrid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14" type="#_x0000_t75" style="width:20.25pt;height:17.25pt" o:ole="">
                  <v:imagedata r:id="rId5" o:title=""/>
                </v:shape>
                <w:control r:id="rId43" w:name="DefaultOcxName36" w:shapeid="_x0000_i1114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A.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Personal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13" type="#_x0000_t75" style="width:20.25pt;height:17.25pt" o:ole="">
                  <v:imagedata r:id="rId5" o:title=""/>
                </v:shape>
                <w:control r:id="rId44" w:name="DefaultOcxName37" w:shapeid="_x0000_i1113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B.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Public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12" type="#_x0000_t75" style="width:20.25pt;height:17.25pt" o:ole="">
                  <v:imagedata r:id="rId5" o:title=""/>
                </v:shape>
                <w:control r:id="rId45" w:name="DefaultOcxName38" w:shapeid="_x0000_i1112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C.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Personnel</w:t>
            </w:r>
          </w:p>
        </w:tc>
      </w:tr>
      <w:tr w:rsidR="005600E4" w:rsidRPr="005600E4" w:rsidTr="005600E4"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111" type="#_x0000_t75" style="width:20.25pt;height:17.25pt" o:ole="">
                  <v:imagedata r:id="rId5" o:title=""/>
                </v:shape>
                <w:control r:id="rId46" w:name="DefaultOcxName39" w:shapeid="_x0000_i1111"/>
              </w:objec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5600E4">
              <w:rPr>
                <w:rFonts w:ascii="Verdana" w:eastAsia="Times New Roman" w:hAnsi="Verdana" w:cs="Times New Roman"/>
                <w:sz w:val="21"/>
                <w:szCs w:val="21"/>
              </w:rPr>
              <w:t>D.</w:t>
            </w:r>
          </w:p>
        </w:tc>
        <w:tc>
          <w:tcPr>
            <w:tcW w:w="0" w:type="auto"/>
            <w:hideMark/>
          </w:tcPr>
          <w:p w:rsidR="005600E4" w:rsidRPr="005600E4" w:rsidRDefault="005600E4" w:rsidP="005600E4">
            <w:pPr>
              <w:spacing w:after="0" w:line="294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600E4">
              <w:rPr>
                <w:rFonts w:ascii="Verdana" w:eastAsia="Times New Roman" w:hAnsi="Verdana" w:cs="Times New Roman"/>
                <w:sz w:val="24"/>
                <w:szCs w:val="24"/>
              </w:rPr>
              <w:t>Physical</w:t>
            </w:r>
          </w:p>
        </w:tc>
      </w:tr>
    </w:tbl>
    <w:p w:rsidR="005600E4" w:rsidRPr="005600E4" w:rsidRDefault="005600E4" w:rsidP="005600E4">
      <w:pPr>
        <w:spacing w:after="0" w:line="240" w:lineRule="auto"/>
        <w:outlineLvl w:val="2"/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</w:pPr>
      <w:r w:rsidRPr="005600E4">
        <w:rPr>
          <w:rFonts w:ascii="Verdana" w:eastAsia="Times New Roman" w:hAnsi="Verdana" w:cs="Tahoma"/>
          <w:caps/>
          <w:color w:val="000000"/>
          <w:spacing w:val="26"/>
          <w:sz w:val="24"/>
          <w:szCs w:val="24"/>
        </w:rPr>
        <w:t>QUESTION 25</w:t>
      </w:r>
    </w:p>
    <w:p w:rsidR="005600E4" w:rsidRPr="005600E4" w:rsidRDefault="005600E4" w:rsidP="005600E4">
      <w:pPr>
        <w:spacing w:after="90" w:line="294" w:lineRule="atLeast"/>
        <w:rPr>
          <w:rFonts w:ascii="Verdana" w:eastAsia="Times New Roman" w:hAnsi="Verdana" w:cs="Tahoma"/>
          <w:color w:val="111111"/>
          <w:sz w:val="24"/>
          <w:szCs w:val="24"/>
        </w:rPr>
      </w:pPr>
      <w:bookmarkStart w:id="0" w:name="_GoBack"/>
      <w:bookmarkEnd w:id="0"/>
      <w:r w:rsidRPr="005600E4">
        <w:rPr>
          <w:rFonts w:ascii="Verdana" w:eastAsia="Times New Roman" w:hAnsi="Verdana" w:cs="Tahoma"/>
          <w:color w:val="111111"/>
          <w:sz w:val="24"/>
          <w:szCs w:val="24"/>
        </w:rPr>
        <w:t>True or False: The Federal Bureau of Investigation (FBI) is the federal agency responsible for signal intelligence and information system security of classified systems.</w:t>
      </w:r>
    </w:p>
    <w:p w:rsidR="005600E4" w:rsidRPr="005600E4" w:rsidRDefault="005600E4" w:rsidP="005600E4">
      <w:pPr>
        <w:spacing w:after="0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10" type="#_x0000_t75" style="width:20.25pt;height:17.25pt" o:ole="">
            <v:imagedata r:id="rId5" o:title=""/>
          </v:shape>
          <w:control r:id="rId47" w:name="DefaultOcxName40" w:shapeid="_x0000_i1110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True</w:t>
      </w:r>
    </w:p>
    <w:p w:rsidR="005600E4" w:rsidRPr="005600E4" w:rsidRDefault="005600E4" w:rsidP="005600E4">
      <w:pPr>
        <w:spacing w:after="45" w:line="294" w:lineRule="atLeast"/>
        <w:rPr>
          <w:rFonts w:ascii="Verdana" w:eastAsia="Times New Roman" w:hAnsi="Verdana" w:cs="Tahoma"/>
          <w:color w:val="111111"/>
          <w:sz w:val="21"/>
          <w:szCs w:val="21"/>
        </w:rPr>
      </w:pPr>
      <w:r w:rsidRPr="005600E4">
        <w:rPr>
          <w:rFonts w:ascii="Verdana" w:eastAsia="Times New Roman" w:hAnsi="Verdana" w:cs="Tahoma"/>
          <w:color w:val="111111"/>
          <w:sz w:val="21"/>
          <w:szCs w:val="21"/>
        </w:rPr>
        <w:object w:dxaOrig="1440" w:dyaOrig="1440">
          <v:shape id="_x0000_i1109" type="#_x0000_t75" style="width:20.25pt;height:17.25pt" o:ole="">
            <v:imagedata r:id="rId5" o:title=""/>
          </v:shape>
          <w:control r:id="rId48" w:name="DefaultOcxName41" w:shapeid="_x0000_i1109"/>
        </w:object>
      </w:r>
      <w:r w:rsidRPr="005600E4">
        <w:rPr>
          <w:rFonts w:ascii="Verdana" w:eastAsia="Times New Roman" w:hAnsi="Verdana" w:cs="Tahoma"/>
          <w:color w:val="111111"/>
          <w:sz w:val="21"/>
          <w:szCs w:val="21"/>
        </w:rPr>
        <w:t> False</w:t>
      </w:r>
    </w:p>
    <w:p w:rsidR="00B0517B" w:rsidRDefault="00B0517B"/>
    <w:sectPr w:rsidR="00B0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3418"/>
    <w:multiLevelType w:val="multilevel"/>
    <w:tmpl w:val="64BA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92B58"/>
    <w:multiLevelType w:val="multilevel"/>
    <w:tmpl w:val="1CC0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215F"/>
    <w:multiLevelType w:val="multilevel"/>
    <w:tmpl w:val="FB464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476AC"/>
    <w:multiLevelType w:val="multilevel"/>
    <w:tmpl w:val="0156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E25974"/>
    <w:multiLevelType w:val="multilevel"/>
    <w:tmpl w:val="DC7E7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F336F"/>
    <w:multiLevelType w:val="multilevel"/>
    <w:tmpl w:val="F4424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C3D"/>
    <w:multiLevelType w:val="multilevel"/>
    <w:tmpl w:val="94C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CF7C0D"/>
    <w:multiLevelType w:val="multilevel"/>
    <w:tmpl w:val="B074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01B8E"/>
    <w:multiLevelType w:val="multilevel"/>
    <w:tmpl w:val="76B0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7F6479"/>
    <w:multiLevelType w:val="multilevel"/>
    <w:tmpl w:val="8398B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6D60C0"/>
    <w:multiLevelType w:val="multilevel"/>
    <w:tmpl w:val="F20E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D879BD"/>
    <w:multiLevelType w:val="multilevel"/>
    <w:tmpl w:val="4EFEF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555806"/>
    <w:multiLevelType w:val="multilevel"/>
    <w:tmpl w:val="4EB2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27DAD"/>
    <w:multiLevelType w:val="multilevel"/>
    <w:tmpl w:val="4C969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B5EDC"/>
    <w:multiLevelType w:val="multilevel"/>
    <w:tmpl w:val="B580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B6C9F"/>
    <w:multiLevelType w:val="multilevel"/>
    <w:tmpl w:val="B6CA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7F24C7"/>
    <w:multiLevelType w:val="multilevel"/>
    <w:tmpl w:val="43DA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A46363"/>
    <w:multiLevelType w:val="multilevel"/>
    <w:tmpl w:val="10F83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75A38"/>
    <w:multiLevelType w:val="multilevel"/>
    <w:tmpl w:val="AD56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6C22A9"/>
    <w:multiLevelType w:val="multilevel"/>
    <w:tmpl w:val="BE38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F415A6"/>
    <w:multiLevelType w:val="multilevel"/>
    <w:tmpl w:val="80B0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4F3ADE"/>
    <w:multiLevelType w:val="multilevel"/>
    <w:tmpl w:val="4E8C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0A07F4"/>
    <w:multiLevelType w:val="multilevel"/>
    <w:tmpl w:val="A6102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4C1FDF"/>
    <w:multiLevelType w:val="multilevel"/>
    <w:tmpl w:val="B4E4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B1BE5"/>
    <w:multiLevelType w:val="multilevel"/>
    <w:tmpl w:val="B778F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9"/>
  </w:num>
  <w:num w:numId="3">
    <w:abstractNumId w:val="18"/>
  </w:num>
  <w:num w:numId="4">
    <w:abstractNumId w:val="7"/>
  </w:num>
  <w:num w:numId="5">
    <w:abstractNumId w:val="15"/>
  </w:num>
  <w:num w:numId="6">
    <w:abstractNumId w:val="23"/>
  </w:num>
  <w:num w:numId="7">
    <w:abstractNumId w:val="2"/>
  </w:num>
  <w:num w:numId="8">
    <w:abstractNumId w:val="5"/>
  </w:num>
  <w:num w:numId="9">
    <w:abstractNumId w:val="21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17"/>
  </w:num>
  <w:num w:numId="15">
    <w:abstractNumId w:val="14"/>
  </w:num>
  <w:num w:numId="16">
    <w:abstractNumId w:val="12"/>
  </w:num>
  <w:num w:numId="17">
    <w:abstractNumId w:val="8"/>
  </w:num>
  <w:num w:numId="18">
    <w:abstractNumId w:val="24"/>
  </w:num>
  <w:num w:numId="19">
    <w:abstractNumId w:val="6"/>
  </w:num>
  <w:num w:numId="20">
    <w:abstractNumId w:val="13"/>
  </w:num>
  <w:num w:numId="21">
    <w:abstractNumId w:val="16"/>
  </w:num>
  <w:num w:numId="22">
    <w:abstractNumId w:val="20"/>
  </w:num>
  <w:num w:numId="23">
    <w:abstractNumId w:val="4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E4"/>
    <w:rsid w:val="005600E4"/>
    <w:rsid w:val="00B0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7EEE"/>
  <w15:chartTrackingRefBased/>
  <w15:docId w15:val="{0C56F896-9F6F-4471-B39B-3285E3DA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107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1957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242092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607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3334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0014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4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69621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99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8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945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95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78569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597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49464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3852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24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5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6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23742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161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909196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224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51361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0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7265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30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687560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568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08756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94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629759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55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59928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59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49560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0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99336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15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930403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560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2853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796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7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15159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60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12318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1476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68177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8275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106171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1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3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0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583451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4085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fontTable" Target="fontTable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Household</dc:creator>
  <cp:keywords/>
  <dc:description/>
  <cp:lastModifiedBy>English Household</cp:lastModifiedBy>
  <cp:revision>1</cp:revision>
  <dcterms:created xsi:type="dcterms:W3CDTF">2017-03-24T01:43:00Z</dcterms:created>
  <dcterms:modified xsi:type="dcterms:W3CDTF">2017-03-24T01:47:00Z</dcterms:modified>
</cp:coreProperties>
</file>